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18</w:t>
      </w:r>
    </w:p>
    <w:p>
      <w:r>
        <w:t>Bundesgericht (BGE), 1991-03-26, DE</w:t>
      </w:r>
    </w:p>
    <w:p>
      <w:r>
        <w:rPr>
          <w:b/>
        </w:rPr>
        <w:t xml:space="preserve">Quelle: </w:t>
      </w:r>
      <w:r>
        <w:t>https://mcp.opencaselaw.ch/entscheid/bge_118 IV 18</w:t>
      </w:r>
    </w:p>
    <w:p>
      <w:r>
        <w:t>FR: ATF 118 IV 18</w:t>
      </w:r>
    </w:p>
    <w:p>
      <w:r>
        <w:t>IT: DTF 118 IV 18</w:t>
      </w:r>
    </w:p>
    <w:p>
      <w:pPr>
        <w:pStyle w:val="Heading2"/>
      </w:pPr>
      <w:r>
        <w:t>Regeste</w:t>
      </w:r>
    </w:p>
    <w:p>
      <w:r>
        <w:t>Regeste Art. 63 StGB; Strafzumessung; Begründungsanforderungen. Wenn die obere kantonale Instanz in Abweichung vom unterinstanzlichen Urteil Umstände anführt, die im Rahmen von Art. 63 StGB strafmindernd zu berücksichtigen sind (wie etwa ein wesentlich geringerer Deliktsbetrag), muss sie begründen, weshalb sie dennoch die gleiche Strafe ausspricht wie die untere Instanz.</w:t>
      </w:r>
    </w:p>
    <w:p>
      <w:pPr>
        <w:pStyle w:val="Heading2"/>
      </w:pPr>
      <w:r>
        <w:t>Erwägungen</w:t>
      </w:r>
    </w:p>
    <w:p>
      <w:r>
        <w:rPr>
          <w:b/>
        </w:rPr>
        <w:t>E. 1</w:t>
      </w:r>
    </w:p>
    <w:p>
      <w:r>
        <w:t>Der Beschwerdeführer macht geltend, die Vorinstanz habe die Strafe in Verletzung von Bundesrecht zugemessen. a) Die Vorinstanz verweist für die Strafzumessung grundsätzlich auf die Erwägungen des Bezirksgerichts. Dieses berücksichtigte bei der Beurteilung des Verschuldens zunächst, dass der Beschwerdeführer immer wieder in finanzielle Not geraten sei, die dann zu den verschiedenen Betreibungen geführt habe. Dass er trotzdem noch einen aufwendigen Lebenswandel beibehalten habe, scheine auf einen gewissen Hang zu Hochstapelei hinzuweisen. Der Beschwerdeführer habe sich anlässlich der Hauptverhandlung uneinsichtig gezeigt, habe er doch keinen Grund gesehen, warum er nicht ein teures Auto halten solle. Solche und andere Luxusgüter hätte er nie mit dem eigenen Verdienst finanzieren können. So habe er sich immer wieder unlauter finanzielle Mittel zu verschaffen versucht, weshalb er sich schon verschiedentlich zu verantworten gehabt habe. Das wirke sich neben dem unverändert ungünstigen Leumund straferhöhend aus. Angesichts des umfangreichen Vorstrafenkatalogs sei auch der automobilistische Leumund eher getrübt. Bei der Verurteilung wegen Fahrens in angetrunkenem Zustand falle ins Gewicht, BGE 118 IV 18 S. 20 dass der Beschwerdeführer eine beachtliche Menge Alkohol konsumiert haben müsse (mindestens 1,95 Gewichtspromille zur relevanten Zeit). Das Bezirksgericht verweist dann auf die gute Qualifikation durch den heutigen Arbeitgeber. Die Vorinstanz relativiert den Vorwurf der Hochstapelei im Hinblick auf die Tätigkeit des Beschwerdeführers als Aussendienstmitarbeiter beziehungsweise als Angestellter, der zumindest neuerdings auch im Aussenbereich repräsentierend auftreten müsse. Sie berücksichtigt ferner, dass der Beschwerdeführer in bezug auf die Alkoholfahrt von Anfang an geständig war und dass er den Betrag in der Höhe des ausgestellten Verlustscheines zurückbezahlt hat. Dennoch hält sie die vom Bezirksgericht ausgefällte Strafe für angemessen. b) Der Beschwerdeführer wendet ein, das Bezirksgericht sei beim Pfändungsbetrug von einem Deliktsbetrag von Fr. 5'323.15 ausgegangen; demgegenüber sei die Vorinstanz zum Schluss gekommen, der strafrechtliche Vorwurf reiche nur bis zu einem Betrage von Fr. 1'047.50, da nur für diesen Betrag ein provisorischer Verlustschein vorgelegen habe. Die Vorinstanz habe diese erhebliche Verminderung des Deliktsbetrages bei der Strafzumessung nicht berücksichtigt und damit gegen Art. 63 StGB verstossen. Art. 63 StGB sei überdies verletzt, wenn die Vorinstanz abweichend vom Bezirksgericht, das seine angebliche Hochstapelei ausdrücklich als straferhöhend berücksichtigt habe, eine solche verneine und dennoch die Strafzumessung des Bezirksgerichts als zutreffend bezeichne. Art. 63 StGB sei auch verletzt, wenn die Vorinstanz zwar Schadensdeckung und Geständigkeit dem Beschwerdeführer "zugute" halte, ohne aber diese strafmindernden Umstände bei der Strafzumessung zu berücksichtigen. Angesichts seiner prekären finanziellen Situation habe die Schadensdeckung einen grossen Einschnitt für ihn bedeutet und beweise seine aufrichtige Reue. c) aa) Damit das Bundesgericht überprüfen kann, ob die verhängte Strafe im Einklang mit den Zumessungsregeln des Bundesrechtes steht und ob der Sachrichter sein Ermessen überschritten hat oder nicht, müssen alle wesentlichen Strafzumessungskriterien in der schriftlichen Urteilsbegründung Erwähnung finden. Die Begründung der Strafzumessung muss in der Regel den zur Anwendung gelangenden Strafrahmen nennen und die massgeblichen Tat- und Täterkomponenten so erörtern, dass festgestellt werden kann, ob alle rechtlich massgeblichen Gesichtspunkte Berücksichtigung gefunden haben und wie sie gewichtet wurden, d.h. ob und in welchem Grade sie strafmindernd oder straferhöhend in die Waagschale fielen. Das BGE 118 IV 18 S. 21 Bundesgericht hebt ein Urteil auf, wenn wegen Fehlens einer Erörterung der erwähnten wesentlichen Elemente die richtige Anwendung des Bundesrechtes nicht nachgeprüft werden kann ( BGE 117 IV 114 /5 mit Hinweisen). bb) Die Strafzumessungserwägungen des angefochtenen Urteils sind in sich widersprüchlich und erfüllen die Begründungsanforderungen gemäss der bundesgerichtlichen Rechtsprechung nicht. Denn die Vorinstanz verweist zunächst grundsätzlich auf die zutreffenden Strafzumessungserwägungen des Bezirksgerichts, erwähnt dann jedoch teils in Korrektur, teils in Ergänzung zum Urteil des Bezirksgerichts Umstände, die im Rahmen von Art. 63 StGB strafmindernd zu berücksichtigen sind (Relativierung des Vorwurfes des Hangs zu Hochstapelei; Geständnis betreffend Fahren in angetrunkenem Zustand; Rückzahlung des Betrages in der Höhe des ausgestellten Verlustscheines). Wenn sie dennoch die vom Bezirksgericht ausgefällte Strafe als ausgewogen und angemessen bezeichnet, dann ist die Strafzumessung ohne weitere Begründung nicht mehr nachvollziehbar. Hinzu kommt, dass die Vorinstanz, wie der Beschwerdeführer zu Recht geltend macht, abweichend vom Bezirksgericht in bezug auf die Lohnpfändung von einem wesentlich geringeren Deliktsbetrag ausgeht, ohne auf diesen Gesichtspunkt bei der Strafzumessung zurückzukommen. Dabei ist anzunehmen, dass der Pfändungsbetrug die Höhe der ausgesprochenen Strafe von fünf Monaten Gefängnis wesentlich beeinflusst hat. cc) Die Nichtigkeitsbeschwerde ist deshalb in diesem Punkt gutzuheissen. Die Vorinstanz wird in ihrem neuen Urteil entweder ausreichend darzulegen haben, weshalb sie trotz der genannten Abweichungen vom bezirksgerichtlichen Urteil zur gleichen Strafe gelangt, oder aber eine geringere Strafe auszufällen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